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E433" w14:textId="659E81A6" w:rsidR="00B35C01" w:rsidRPr="00B35C01" w:rsidRDefault="00B35C01" w:rsidP="00B35C01">
      <w:pPr>
        <w:contextualSpacing/>
        <w:rPr>
          <w:rFonts w:ascii="Calibri" w:hAnsi="Calibri" w:cs="Calibri"/>
          <w:b/>
          <w:sz w:val="22"/>
          <w:szCs w:val="22"/>
        </w:rPr>
      </w:pPr>
      <w:r w:rsidRPr="00B35C01">
        <w:rPr>
          <w:rFonts w:ascii="Calibri" w:hAnsi="Calibri" w:cs="Calibri"/>
          <w:b/>
          <w:sz w:val="22"/>
          <w:szCs w:val="22"/>
        </w:rPr>
        <w:t>MEDIA CONTACT</w:t>
      </w:r>
      <w:r w:rsidRPr="00B35C01">
        <w:rPr>
          <w:rFonts w:ascii="Calibri" w:hAnsi="Calibri" w:cs="Calibri"/>
          <w:b/>
          <w:sz w:val="22"/>
          <w:szCs w:val="22"/>
        </w:rPr>
        <w:tab/>
      </w:r>
      <w:r w:rsidRPr="00B35C01">
        <w:rPr>
          <w:rFonts w:ascii="Calibri" w:hAnsi="Calibri" w:cs="Calibri"/>
          <w:b/>
          <w:sz w:val="22"/>
          <w:szCs w:val="22"/>
        </w:rPr>
        <w:tab/>
      </w:r>
      <w:r w:rsidRPr="00B35C01">
        <w:rPr>
          <w:rFonts w:ascii="Calibri" w:hAnsi="Calibri" w:cs="Calibri"/>
          <w:b/>
          <w:sz w:val="22"/>
          <w:szCs w:val="22"/>
        </w:rPr>
        <w:tab/>
      </w:r>
      <w:r w:rsidRPr="00B35C01">
        <w:rPr>
          <w:rFonts w:ascii="Calibri" w:hAnsi="Calibri" w:cs="Calibri"/>
          <w:b/>
          <w:sz w:val="22"/>
          <w:szCs w:val="22"/>
        </w:rPr>
        <w:tab/>
      </w:r>
      <w:r w:rsidRPr="00B35C01">
        <w:rPr>
          <w:rFonts w:ascii="Calibri" w:hAnsi="Calibri" w:cs="Calibri"/>
          <w:b/>
          <w:sz w:val="22"/>
          <w:szCs w:val="22"/>
        </w:rPr>
        <w:tab/>
      </w:r>
      <w:r w:rsidRPr="00B35C01">
        <w:rPr>
          <w:rFonts w:ascii="Calibri" w:hAnsi="Calibri" w:cs="Calibri"/>
          <w:b/>
          <w:sz w:val="22"/>
          <w:szCs w:val="22"/>
        </w:rPr>
        <w:tab/>
      </w:r>
      <w:r w:rsidRPr="00B35C01">
        <w:rPr>
          <w:rFonts w:ascii="Calibri" w:hAnsi="Calibri" w:cs="Calibri"/>
          <w:b/>
          <w:sz w:val="22"/>
          <w:szCs w:val="22"/>
        </w:rPr>
        <w:tab/>
        <w:t xml:space="preserve">          FOR IMMEDIATE RELEASE</w:t>
      </w:r>
    </w:p>
    <w:p w14:paraId="7CB40672" w14:textId="61860CA0" w:rsidR="006C5991" w:rsidRPr="0098149D" w:rsidRDefault="006C5991" w:rsidP="00B35C01">
      <w:pPr>
        <w:contextualSpacing/>
        <w:rPr>
          <w:rFonts w:ascii="Calibri" w:hAnsi="Calibri" w:cs="Calibri"/>
          <w:sz w:val="22"/>
          <w:szCs w:val="22"/>
        </w:rPr>
      </w:pPr>
      <w:r w:rsidRPr="003B4CF0">
        <w:rPr>
          <w:rFonts w:ascii="Calibri" w:hAnsi="Calibri" w:cs="Calibri"/>
          <w:sz w:val="22"/>
          <w:szCs w:val="22"/>
          <w:highlight w:val="yellow"/>
        </w:rPr>
        <w:t>[YOUR MEDIA CONTACT NAME]</w:t>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r>
      <w:r w:rsidRPr="0098149D">
        <w:rPr>
          <w:rFonts w:ascii="Calibri" w:hAnsi="Calibri" w:cs="Calibri"/>
          <w:sz w:val="22"/>
          <w:szCs w:val="22"/>
        </w:rPr>
        <w:tab/>
        <w:t xml:space="preserve">         </w:t>
      </w:r>
      <w:r w:rsidRPr="003B4CF0">
        <w:rPr>
          <w:rFonts w:ascii="Calibri" w:hAnsi="Calibri" w:cs="Calibri"/>
          <w:sz w:val="22"/>
          <w:szCs w:val="22"/>
          <w:highlight w:val="yellow"/>
        </w:rPr>
        <w:t>X/XX/XXXX</w:t>
      </w:r>
    </w:p>
    <w:p w14:paraId="530D7F64" w14:textId="4DA3C281" w:rsidR="00B35C01" w:rsidRPr="00B35C01" w:rsidRDefault="006C5991" w:rsidP="006C5991">
      <w:pPr>
        <w:contextualSpacing/>
        <w:rPr>
          <w:rFonts w:ascii="Calibri" w:hAnsi="Calibri" w:cs="Calibri"/>
          <w:sz w:val="22"/>
          <w:szCs w:val="22"/>
        </w:rPr>
      </w:pPr>
      <w:r w:rsidRPr="003B4CF0">
        <w:rPr>
          <w:rFonts w:ascii="Calibri" w:hAnsi="Calibri" w:cs="Calibri"/>
          <w:sz w:val="22"/>
          <w:szCs w:val="22"/>
          <w:highlight w:val="yellow"/>
        </w:rPr>
        <w:t>[MEDIA CONTACT INFORMATION]</w:t>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r>
      <w:r w:rsidR="00B35C01" w:rsidRPr="00B35C01">
        <w:rPr>
          <w:rFonts w:ascii="Calibri" w:hAnsi="Calibri" w:cs="Calibri"/>
          <w:sz w:val="22"/>
          <w:szCs w:val="22"/>
        </w:rPr>
        <w:tab/>
        <w:t xml:space="preserve">       </w:t>
      </w:r>
    </w:p>
    <w:p w14:paraId="47DD0A8D" w14:textId="0CE0A083" w:rsidR="00B35C01" w:rsidRPr="00B35C01" w:rsidRDefault="00B35C01" w:rsidP="00B35C01">
      <w:pPr>
        <w:contextualSpacing/>
        <w:rPr>
          <w:rFonts w:ascii="Calibri" w:hAnsi="Calibri" w:cs="Calibri"/>
          <w:sz w:val="22"/>
          <w:szCs w:val="22"/>
        </w:rPr>
      </w:pPr>
    </w:p>
    <w:p w14:paraId="207A87F3" w14:textId="77777777" w:rsidR="00B35C01" w:rsidRPr="009A4B8A" w:rsidRDefault="00B35C01" w:rsidP="00B35C01">
      <w:pPr>
        <w:contextualSpacing/>
        <w:rPr>
          <w:rFonts w:ascii="Calibri" w:hAnsi="Calibri" w:cs="Calibri"/>
          <w:color w:val="000000" w:themeColor="text1"/>
          <w:sz w:val="22"/>
          <w:szCs w:val="22"/>
        </w:rPr>
      </w:pPr>
    </w:p>
    <w:p w14:paraId="05EA9A4B" w14:textId="3D6810D8" w:rsidR="00B35C01" w:rsidRPr="009A4B8A" w:rsidRDefault="006C5991" w:rsidP="00B35C01">
      <w:pPr>
        <w:contextualSpacing/>
        <w:jc w:val="center"/>
        <w:rPr>
          <w:rFonts w:ascii="Calibri" w:hAnsi="Calibri" w:cs="Calibri"/>
          <w:b/>
          <w:bCs/>
          <w:color w:val="000000" w:themeColor="text1"/>
          <w:sz w:val="22"/>
          <w:szCs w:val="22"/>
        </w:rPr>
      </w:pPr>
      <w:r w:rsidRPr="003B4CF0">
        <w:rPr>
          <w:rFonts w:ascii="Calibri" w:hAnsi="Calibri" w:cs="Calibri"/>
          <w:b/>
          <w:bCs/>
          <w:color w:val="000000" w:themeColor="text1"/>
          <w:sz w:val="22"/>
          <w:szCs w:val="22"/>
          <w:highlight w:val="yellow"/>
        </w:rPr>
        <w:t>[YOUR COMPANY NAME]</w:t>
      </w:r>
      <w:r w:rsidR="006D08F3" w:rsidRPr="009A4B8A">
        <w:rPr>
          <w:rFonts w:ascii="Calibri" w:hAnsi="Calibri" w:cs="Calibri"/>
          <w:b/>
          <w:bCs/>
          <w:color w:val="000000" w:themeColor="text1"/>
          <w:sz w:val="22"/>
          <w:szCs w:val="22"/>
        </w:rPr>
        <w:t xml:space="preserve"> </w:t>
      </w:r>
      <w:r w:rsidR="00774042">
        <w:rPr>
          <w:rFonts w:ascii="Calibri" w:hAnsi="Calibri" w:cs="Calibri"/>
          <w:b/>
          <w:bCs/>
          <w:color w:val="000000" w:themeColor="text1"/>
          <w:sz w:val="22"/>
          <w:szCs w:val="22"/>
        </w:rPr>
        <w:t xml:space="preserve">REMAINS </w:t>
      </w:r>
      <w:r w:rsidR="006D08F3" w:rsidRPr="009A4B8A">
        <w:rPr>
          <w:rFonts w:ascii="Calibri" w:hAnsi="Calibri" w:cs="Calibri"/>
          <w:b/>
          <w:bCs/>
          <w:color w:val="000000" w:themeColor="text1"/>
          <w:sz w:val="22"/>
          <w:szCs w:val="22"/>
        </w:rPr>
        <w:t>STRONG</w:t>
      </w:r>
      <w:r w:rsidR="00774042">
        <w:rPr>
          <w:rFonts w:ascii="Calibri" w:hAnsi="Calibri" w:cs="Calibri"/>
          <w:b/>
          <w:bCs/>
          <w:color w:val="000000" w:themeColor="text1"/>
          <w:sz w:val="22"/>
          <w:szCs w:val="22"/>
        </w:rPr>
        <w:t>LY</w:t>
      </w:r>
      <w:r w:rsidR="006D08F3" w:rsidRPr="009A4B8A">
        <w:rPr>
          <w:rFonts w:ascii="Calibri" w:hAnsi="Calibri" w:cs="Calibri"/>
          <w:b/>
          <w:bCs/>
          <w:color w:val="000000" w:themeColor="text1"/>
          <w:sz w:val="22"/>
          <w:szCs w:val="22"/>
        </w:rPr>
        <w:t xml:space="preserve"> OPPOS</w:t>
      </w:r>
      <w:r w:rsidR="00774042">
        <w:rPr>
          <w:rFonts w:ascii="Calibri" w:hAnsi="Calibri" w:cs="Calibri"/>
          <w:b/>
          <w:bCs/>
          <w:color w:val="000000" w:themeColor="text1"/>
          <w:sz w:val="22"/>
          <w:szCs w:val="22"/>
        </w:rPr>
        <w:t>ED</w:t>
      </w:r>
      <w:r w:rsidR="006D08F3" w:rsidRPr="009A4B8A">
        <w:rPr>
          <w:rFonts w:ascii="Calibri" w:hAnsi="Calibri" w:cs="Calibri"/>
          <w:b/>
          <w:bCs/>
          <w:color w:val="000000" w:themeColor="text1"/>
          <w:sz w:val="22"/>
          <w:szCs w:val="22"/>
        </w:rPr>
        <w:t xml:space="preserve"> </w:t>
      </w:r>
      <w:r w:rsidR="00774042">
        <w:rPr>
          <w:rFonts w:ascii="Calibri" w:hAnsi="Calibri" w:cs="Calibri"/>
          <w:b/>
          <w:bCs/>
          <w:color w:val="000000" w:themeColor="text1"/>
          <w:sz w:val="22"/>
          <w:szCs w:val="22"/>
        </w:rPr>
        <w:t>TO</w:t>
      </w:r>
      <w:r w:rsidR="006D08F3" w:rsidRPr="009A4B8A">
        <w:rPr>
          <w:rFonts w:ascii="Calibri" w:hAnsi="Calibri" w:cs="Calibri"/>
          <w:b/>
          <w:bCs/>
          <w:color w:val="000000" w:themeColor="text1"/>
          <w:sz w:val="22"/>
          <w:szCs w:val="22"/>
        </w:rPr>
        <w:t xml:space="preserve"> TARIFFS ON EUROPEAN-ORIGIN WINE AND SPIRITS</w:t>
      </w:r>
    </w:p>
    <w:p w14:paraId="142DE546" w14:textId="77777777" w:rsidR="00B35C01" w:rsidRPr="009A4B8A" w:rsidRDefault="00B35C01" w:rsidP="00B35C01">
      <w:pPr>
        <w:contextualSpacing/>
        <w:jc w:val="center"/>
        <w:rPr>
          <w:rFonts w:ascii="Calibri" w:hAnsi="Calibri" w:cs="Calibri"/>
          <w:color w:val="000000" w:themeColor="text1"/>
          <w:sz w:val="22"/>
          <w:szCs w:val="22"/>
        </w:rPr>
      </w:pPr>
    </w:p>
    <w:p w14:paraId="3FC1607B" w14:textId="6EA91032" w:rsidR="00B35C01" w:rsidRPr="009A4B8A" w:rsidRDefault="006C5991" w:rsidP="00B35C01">
      <w:pPr>
        <w:contextualSpacing/>
        <w:jc w:val="center"/>
        <w:rPr>
          <w:rFonts w:ascii="Calibri" w:hAnsi="Calibri" w:cs="Calibri"/>
          <w:color w:val="000000" w:themeColor="text1"/>
          <w:sz w:val="22"/>
          <w:szCs w:val="22"/>
        </w:rPr>
      </w:pPr>
      <w:r>
        <w:rPr>
          <w:rFonts w:ascii="Calibri" w:hAnsi="Calibri" w:cs="Calibri"/>
          <w:i/>
          <w:iCs/>
          <w:color w:val="000000" w:themeColor="text1"/>
          <w:sz w:val="22"/>
          <w:szCs w:val="22"/>
        </w:rPr>
        <w:t xml:space="preserve">As a member of the </w:t>
      </w:r>
      <w:r w:rsidR="006D08F3" w:rsidRPr="009A4B8A">
        <w:rPr>
          <w:rFonts w:ascii="Calibri" w:hAnsi="Calibri" w:cs="Calibri"/>
          <w:i/>
          <w:iCs/>
          <w:color w:val="000000" w:themeColor="text1"/>
          <w:sz w:val="22"/>
          <w:szCs w:val="22"/>
        </w:rPr>
        <w:t xml:space="preserve">Wine &amp; Spirit Wholesalers of </w:t>
      </w:r>
      <w:r w:rsidR="006D08F3" w:rsidRPr="0098149D">
        <w:rPr>
          <w:rFonts w:ascii="Calibri" w:hAnsi="Calibri" w:cs="Calibri"/>
          <w:i/>
          <w:iCs/>
          <w:color w:val="000000" w:themeColor="text1"/>
          <w:sz w:val="22"/>
          <w:szCs w:val="22"/>
        </w:rPr>
        <w:t>America</w:t>
      </w:r>
      <w:r w:rsidRPr="0098149D">
        <w:rPr>
          <w:rFonts w:ascii="Calibri" w:hAnsi="Calibri" w:cs="Calibri"/>
          <w:i/>
          <w:iCs/>
          <w:color w:val="000000" w:themeColor="text1"/>
          <w:sz w:val="22"/>
          <w:szCs w:val="22"/>
        </w:rPr>
        <w:t xml:space="preserve">, </w:t>
      </w:r>
      <w:r w:rsidRPr="003B4CF0">
        <w:rPr>
          <w:rFonts w:ascii="Calibri" w:hAnsi="Calibri" w:cs="Calibri"/>
          <w:i/>
          <w:iCs/>
          <w:color w:val="000000" w:themeColor="text1"/>
          <w:sz w:val="22"/>
          <w:szCs w:val="22"/>
          <w:highlight w:val="yellow"/>
        </w:rPr>
        <w:t>[YOUR COMPANY NAME]</w:t>
      </w:r>
      <w:r w:rsidR="006D08F3" w:rsidRPr="009A4B8A">
        <w:rPr>
          <w:rFonts w:ascii="Calibri" w:hAnsi="Calibri" w:cs="Calibri"/>
          <w:i/>
          <w:iCs/>
          <w:color w:val="000000" w:themeColor="text1"/>
          <w:sz w:val="22"/>
          <w:szCs w:val="22"/>
        </w:rPr>
        <w:t xml:space="preserve"> stands in strong opposition of the Office of the United States Trade Representative and the </w:t>
      </w:r>
      <w:r w:rsidR="001D3415">
        <w:rPr>
          <w:rFonts w:ascii="Calibri" w:hAnsi="Calibri" w:cs="Calibri"/>
          <w:i/>
          <w:iCs/>
          <w:color w:val="000000" w:themeColor="text1"/>
          <w:sz w:val="22"/>
          <w:szCs w:val="22"/>
        </w:rPr>
        <w:t xml:space="preserve">continuation </w:t>
      </w:r>
      <w:r w:rsidR="006D08F3" w:rsidRPr="009A4B8A">
        <w:rPr>
          <w:rFonts w:ascii="Calibri" w:hAnsi="Calibri" w:cs="Calibri"/>
          <w:i/>
          <w:iCs/>
          <w:color w:val="000000" w:themeColor="text1"/>
          <w:sz w:val="22"/>
          <w:szCs w:val="22"/>
        </w:rPr>
        <w:t xml:space="preserve">of a </w:t>
      </w:r>
      <w:r w:rsidR="009A4B8A" w:rsidRPr="009A4B8A">
        <w:rPr>
          <w:rFonts w:ascii="Calibri" w:hAnsi="Calibri" w:cs="Calibri"/>
          <w:i/>
          <w:iCs/>
          <w:color w:val="000000" w:themeColor="text1"/>
          <w:sz w:val="22"/>
          <w:szCs w:val="22"/>
        </w:rPr>
        <w:t>25</w:t>
      </w:r>
      <w:r w:rsidR="006D08F3" w:rsidRPr="009A4B8A">
        <w:rPr>
          <w:rFonts w:ascii="Calibri" w:hAnsi="Calibri" w:cs="Calibri"/>
          <w:i/>
          <w:iCs/>
          <w:color w:val="000000" w:themeColor="text1"/>
          <w:sz w:val="22"/>
          <w:szCs w:val="22"/>
        </w:rPr>
        <w:t xml:space="preserve"> </w:t>
      </w:r>
      <w:r w:rsidR="00665B1B" w:rsidRPr="009A4B8A">
        <w:rPr>
          <w:rFonts w:ascii="Calibri" w:hAnsi="Calibri" w:cs="Calibri"/>
          <w:i/>
          <w:iCs/>
          <w:color w:val="000000" w:themeColor="text1"/>
          <w:sz w:val="22"/>
          <w:szCs w:val="22"/>
        </w:rPr>
        <w:t xml:space="preserve">percent </w:t>
      </w:r>
      <w:r w:rsidR="006D08F3" w:rsidRPr="009A4B8A">
        <w:rPr>
          <w:rFonts w:ascii="Calibri" w:hAnsi="Calibri" w:cs="Calibri"/>
          <w:i/>
          <w:iCs/>
          <w:color w:val="000000" w:themeColor="text1"/>
          <w:sz w:val="22"/>
          <w:szCs w:val="22"/>
        </w:rPr>
        <w:t>tariff on EU wines and spirits</w:t>
      </w:r>
    </w:p>
    <w:p w14:paraId="789F3568" w14:textId="77777777" w:rsidR="00B35C01" w:rsidRPr="009A4B8A" w:rsidRDefault="00B35C01" w:rsidP="00B35C01">
      <w:pPr>
        <w:contextualSpacing/>
        <w:jc w:val="center"/>
        <w:rPr>
          <w:rFonts w:ascii="Calibri" w:hAnsi="Calibri" w:cs="Calibri"/>
          <w:color w:val="000000" w:themeColor="text1"/>
          <w:sz w:val="22"/>
          <w:szCs w:val="22"/>
        </w:rPr>
      </w:pPr>
    </w:p>
    <w:p w14:paraId="0230FAB9" w14:textId="10A25432" w:rsidR="005D11B3" w:rsidRPr="009A4B8A" w:rsidRDefault="006C5991" w:rsidP="00B35C01">
      <w:pPr>
        <w:contextualSpacing/>
        <w:rPr>
          <w:rFonts w:ascii="Calibri" w:hAnsi="Calibri" w:cs="Calibri"/>
          <w:color w:val="000000" w:themeColor="text1"/>
          <w:sz w:val="22"/>
          <w:szCs w:val="22"/>
        </w:rPr>
      </w:pPr>
      <w:r w:rsidRPr="003B4CF0">
        <w:rPr>
          <w:rFonts w:ascii="Calibri" w:hAnsi="Calibri" w:cs="Calibri"/>
          <w:b/>
          <w:bCs/>
          <w:color w:val="000000" w:themeColor="text1"/>
          <w:sz w:val="22"/>
          <w:szCs w:val="22"/>
          <w:highlight w:val="yellow"/>
        </w:rPr>
        <w:t>[YOUR CITY]</w:t>
      </w:r>
      <w:r w:rsidR="00B35C01" w:rsidRPr="003B4CF0">
        <w:rPr>
          <w:rFonts w:ascii="Calibri" w:hAnsi="Calibri" w:cs="Calibri"/>
          <w:b/>
          <w:bCs/>
          <w:color w:val="000000" w:themeColor="text1"/>
          <w:sz w:val="22"/>
          <w:szCs w:val="22"/>
          <w:highlight w:val="yellow"/>
        </w:rPr>
        <w:t>,</w:t>
      </w:r>
      <w:r w:rsidRPr="003B4CF0">
        <w:rPr>
          <w:rFonts w:ascii="Calibri" w:hAnsi="Calibri" w:cs="Calibri"/>
          <w:b/>
          <w:bCs/>
          <w:color w:val="000000" w:themeColor="text1"/>
          <w:sz w:val="22"/>
          <w:szCs w:val="22"/>
          <w:highlight w:val="yellow"/>
        </w:rPr>
        <w:t xml:space="preserve"> XX/XX/XXXX</w:t>
      </w:r>
      <w:r w:rsidR="00B35C01" w:rsidRPr="003B4CF0">
        <w:rPr>
          <w:rFonts w:ascii="Calibri" w:hAnsi="Calibri" w:cs="Calibri"/>
          <w:b/>
          <w:bCs/>
          <w:color w:val="000000" w:themeColor="text1"/>
          <w:sz w:val="22"/>
          <w:szCs w:val="22"/>
          <w:highlight w:val="yellow"/>
        </w:rPr>
        <w:t xml:space="preserve">– </w:t>
      </w:r>
      <w:r w:rsidRPr="003B4CF0">
        <w:rPr>
          <w:rFonts w:ascii="Calibri" w:hAnsi="Calibri" w:cs="Calibri"/>
          <w:color w:val="000000" w:themeColor="text1"/>
          <w:sz w:val="22"/>
          <w:szCs w:val="22"/>
          <w:highlight w:val="yellow"/>
        </w:rPr>
        <w:t>[YOUR COMPANY NAME]</w:t>
      </w:r>
      <w:r w:rsidR="006D08F3" w:rsidRPr="0098149D">
        <w:rPr>
          <w:rFonts w:ascii="Calibri" w:hAnsi="Calibri" w:cs="Calibri"/>
          <w:color w:val="000000" w:themeColor="text1"/>
          <w:sz w:val="22"/>
          <w:szCs w:val="22"/>
        </w:rPr>
        <w:t xml:space="preserve"> </w:t>
      </w:r>
      <w:r w:rsidRPr="0098149D">
        <w:rPr>
          <w:rFonts w:ascii="Calibri" w:hAnsi="Calibri" w:cs="Calibri"/>
          <w:color w:val="000000" w:themeColor="text1"/>
          <w:sz w:val="22"/>
          <w:szCs w:val="22"/>
        </w:rPr>
        <w:t>announces</w:t>
      </w:r>
      <w:r w:rsidR="006D08F3" w:rsidRPr="009A4B8A">
        <w:rPr>
          <w:rFonts w:ascii="Calibri" w:hAnsi="Calibri" w:cs="Calibri"/>
          <w:color w:val="000000" w:themeColor="text1"/>
          <w:sz w:val="22"/>
          <w:szCs w:val="22"/>
        </w:rPr>
        <w:t xml:space="preserve"> its strong opposition to the Office of the United States Trade Representative’s</w:t>
      </w:r>
      <w:r w:rsidR="002C609A">
        <w:rPr>
          <w:rFonts w:ascii="Calibri" w:hAnsi="Calibri" w:cs="Calibri"/>
          <w:color w:val="000000" w:themeColor="text1"/>
          <w:sz w:val="22"/>
          <w:szCs w:val="22"/>
        </w:rPr>
        <w:t xml:space="preserve"> (USTR)</w:t>
      </w:r>
      <w:r w:rsidR="006D08F3" w:rsidRPr="009A4B8A">
        <w:rPr>
          <w:rFonts w:ascii="Calibri" w:hAnsi="Calibri" w:cs="Calibri"/>
          <w:color w:val="000000" w:themeColor="text1"/>
          <w:sz w:val="22"/>
          <w:szCs w:val="22"/>
        </w:rPr>
        <w:t xml:space="preserve"> decision </w:t>
      </w:r>
      <w:r w:rsidR="005D11B3" w:rsidRPr="009A4B8A">
        <w:rPr>
          <w:rFonts w:ascii="Calibri" w:hAnsi="Calibri" w:cs="Calibri"/>
          <w:color w:val="000000" w:themeColor="text1"/>
          <w:sz w:val="22"/>
          <w:szCs w:val="22"/>
        </w:rPr>
        <w:t>that the current 25 percent tariff on EU Wine and Spirits will remain on the list of “carousel retaliation” – meaning that tariffs will be applied to a rotating list of European products every 180 days.</w:t>
      </w:r>
    </w:p>
    <w:p w14:paraId="06507F23" w14:textId="592A2646" w:rsidR="00E74FD7" w:rsidRPr="009A4B8A" w:rsidRDefault="00E74FD7" w:rsidP="00B35C01">
      <w:pPr>
        <w:contextualSpacing/>
        <w:rPr>
          <w:rFonts w:ascii="Calibri" w:hAnsi="Calibri" w:cs="Calibri"/>
          <w:color w:val="000000" w:themeColor="text1"/>
          <w:sz w:val="22"/>
          <w:szCs w:val="22"/>
        </w:rPr>
      </w:pPr>
    </w:p>
    <w:p w14:paraId="5A87BBC2" w14:textId="1DE40AD1" w:rsidR="00E74FD7" w:rsidRPr="009A4B8A" w:rsidRDefault="006C5991" w:rsidP="00B35C01">
      <w:pPr>
        <w:contextualSpacing/>
        <w:rPr>
          <w:rFonts w:ascii="Calibri" w:hAnsi="Calibri" w:cs="Calibri"/>
          <w:color w:val="000000" w:themeColor="text1"/>
          <w:sz w:val="22"/>
          <w:szCs w:val="22"/>
        </w:rPr>
      </w:pPr>
      <w:r w:rsidRPr="003B4CF0">
        <w:rPr>
          <w:rFonts w:ascii="Calibri" w:hAnsi="Calibri" w:cs="Calibri"/>
          <w:color w:val="000000" w:themeColor="text1"/>
          <w:sz w:val="22"/>
          <w:szCs w:val="22"/>
          <w:highlight w:val="yellow"/>
        </w:rPr>
        <w:t xml:space="preserve">[EXECUTIVE QUOTE HERE ON HOW THE TARIFFS HAVE IMPACTED YOUR BUSINESS/ WHY IT IS BAD FOR BUSINESS – EX. “These tariffs have </w:t>
      </w:r>
      <w:r w:rsidR="002C609A">
        <w:rPr>
          <w:rFonts w:ascii="Calibri" w:hAnsi="Calibri" w:cs="Calibri"/>
          <w:color w:val="000000" w:themeColor="text1"/>
          <w:sz w:val="22"/>
          <w:szCs w:val="22"/>
          <w:highlight w:val="yellow"/>
        </w:rPr>
        <w:t>added another layer</w:t>
      </w:r>
      <w:r w:rsidRPr="003B4CF0">
        <w:rPr>
          <w:rFonts w:ascii="Calibri" w:hAnsi="Calibri" w:cs="Calibri"/>
          <w:color w:val="000000" w:themeColor="text1"/>
          <w:sz w:val="22"/>
          <w:szCs w:val="22"/>
          <w:highlight w:val="yellow"/>
        </w:rPr>
        <w:t xml:space="preserve"> of uncertainty </w:t>
      </w:r>
      <w:r w:rsidR="002C609A">
        <w:rPr>
          <w:rFonts w:ascii="Calibri" w:hAnsi="Calibri" w:cs="Calibri"/>
          <w:color w:val="000000" w:themeColor="text1"/>
          <w:sz w:val="22"/>
          <w:szCs w:val="22"/>
          <w:highlight w:val="yellow"/>
        </w:rPr>
        <w:t>for an</w:t>
      </w:r>
      <w:r w:rsidRPr="003B4CF0">
        <w:rPr>
          <w:rFonts w:ascii="Calibri" w:hAnsi="Calibri" w:cs="Calibri"/>
          <w:color w:val="000000" w:themeColor="text1"/>
          <w:sz w:val="22"/>
          <w:szCs w:val="22"/>
          <w:highlight w:val="yellow"/>
        </w:rPr>
        <w:t xml:space="preserve"> industry </w:t>
      </w:r>
      <w:r w:rsidR="002C609A">
        <w:rPr>
          <w:rFonts w:ascii="Calibri" w:hAnsi="Calibri" w:cs="Calibri"/>
          <w:color w:val="000000" w:themeColor="text1"/>
          <w:sz w:val="22"/>
          <w:szCs w:val="22"/>
          <w:highlight w:val="yellow"/>
        </w:rPr>
        <w:t>trying to navigate its way out of a pandemic</w:t>
      </w:r>
      <w:r w:rsidRPr="003B4CF0">
        <w:rPr>
          <w:rFonts w:ascii="Calibri" w:hAnsi="Calibri" w:cs="Calibri"/>
          <w:color w:val="000000" w:themeColor="text1"/>
          <w:sz w:val="22"/>
          <w:szCs w:val="22"/>
          <w:highlight w:val="yellow"/>
        </w:rPr>
        <w:t xml:space="preserve">. Our employees, hard working men and women of this community, are at risk of losing their jobs because under the current conditions, our EU product portfolio is no longer competitive in a </w:t>
      </w:r>
      <w:r w:rsidR="002C609A">
        <w:rPr>
          <w:rFonts w:ascii="Calibri" w:hAnsi="Calibri" w:cs="Calibri"/>
          <w:color w:val="000000" w:themeColor="text1"/>
          <w:sz w:val="22"/>
          <w:szCs w:val="22"/>
          <w:highlight w:val="yellow"/>
        </w:rPr>
        <w:t xml:space="preserve">local and </w:t>
      </w:r>
      <w:r w:rsidRPr="003B4CF0">
        <w:rPr>
          <w:rFonts w:ascii="Calibri" w:hAnsi="Calibri" w:cs="Calibri"/>
          <w:color w:val="000000" w:themeColor="text1"/>
          <w:sz w:val="22"/>
          <w:szCs w:val="22"/>
          <w:highlight w:val="yellow"/>
        </w:rPr>
        <w:t>global marketplace.”]</w:t>
      </w:r>
    </w:p>
    <w:p w14:paraId="0BDD7F43" w14:textId="77777777" w:rsidR="001B0CFA" w:rsidRPr="009A4B8A" w:rsidRDefault="001B0CFA" w:rsidP="00B35C01">
      <w:pPr>
        <w:contextualSpacing/>
        <w:rPr>
          <w:rFonts w:ascii="Calibri" w:hAnsi="Calibri" w:cs="Calibri"/>
          <w:color w:val="000000" w:themeColor="text1"/>
          <w:sz w:val="22"/>
          <w:szCs w:val="22"/>
        </w:rPr>
      </w:pPr>
    </w:p>
    <w:p w14:paraId="09558337" w14:textId="54CE4275" w:rsidR="009B1241" w:rsidRPr="009A4B8A" w:rsidRDefault="00E74FD7" w:rsidP="00B35C01">
      <w:pPr>
        <w:contextualSpacing/>
        <w:rPr>
          <w:rFonts w:ascii="Calibri" w:hAnsi="Calibri" w:cs="Calibri"/>
          <w:color w:val="000000" w:themeColor="text1"/>
          <w:sz w:val="22"/>
          <w:szCs w:val="22"/>
          <w:highlight w:val="yellow"/>
        </w:rPr>
      </w:pPr>
      <w:r w:rsidRPr="009A4B8A">
        <w:rPr>
          <w:rFonts w:ascii="Calibri" w:hAnsi="Calibri" w:cs="Calibri"/>
          <w:color w:val="000000" w:themeColor="text1"/>
          <w:sz w:val="22"/>
          <w:szCs w:val="22"/>
        </w:rPr>
        <w:t xml:space="preserve">Since October 2019, U.S. </w:t>
      </w:r>
      <w:r w:rsidR="0081248B" w:rsidRPr="009A4B8A">
        <w:rPr>
          <w:rFonts w:ascii="Calibri" w:hAnsi="Calibri" w:cs="Calibri"/>
          <w:color w:val="000000" w:themeColor="text1"/>
          <w:sz w:val="22"/>
          <w:szCs w:val="22"/>
        </w:rPr>
        <w:t>w</w:t>
      </w:r>
      <w:r w:rsidRPr="009A4B8A">
        <w:rPr>
          <w:rFonts w:ascii="Calibri" w:hAnsi="Calibri" w:cs="Calibri"/>
          <w:color w:val="000000" w:themeColor="text1"/>
          <w:sz w:val="22"/>
          <w:szCs w:val="22"/>
        </w:rPr>
        <w:t xml:space="preserve">ine and </w:t>
      </w:r>
      <w:r w:rsidR="0081248B" w:rsidRPr="009A4B8A">
        <w:rPr>
          <w:rFonts w:ascii="Calibri" w:hAnsi="Calibri" w:cs="Calibri"/>
          <w:color w:val="000000" w:themeColor="text1"/>
          <w:sz w:val="22"/>
          <w:szCs w:val="22"/>
        </w:rPr>
        <w:t>s</w:t>
      </w:r>
      <w:r w:rsidRPr="009A4B8A">
        <w:rPr>
          <w:rFonts w:ascii="Calibri" w:hAnsi="Calibri" w:cs="Calibri"/>
          <w:color w:val="000000" w:themeColor="text1"/>
          <w:sz w:val="22"/>
          <w:szCs w:val="22"/>
        </w:rPr>
        <w:t xml:space="preserve">pirit wholesalers </w:t>
      </w:r>
      <w:r w:rsidR="005D11B3" w:rsidRPr="009A4B8A">
        <w:rPr>
          <w:rFonts w:ascii="Calibri" w:hAnsi="Calibri" w:cs="Calibri"/>
          <w:color w:val="000000" w:themeColor="text1"/>
          <w:sz w:val="22"/>
          <w:szCs w:val="22"/>
        </w:rPr>
        <w:t xml:space="preserve">and the industry at large </w:t>
      </w:r>
      <w:r w:rsidRPr="009A4B8A">
        <w:rPr>
          <w:rFonts w:ascii="Calibri" w:hAnsi="Calibri" w:cs="Calibri"/>
          <w:color w:val="000000" w:themeColor="text1"/>
          <w:sz w:val="22"/>
          <w:szCs w:val="22"/>
        </w:rPr>
        <w:t xml:space="preserve">have experienced the unintended consequences of a trade dispute between the United States and the </w:t>
      </w:r>
      <w:r w:rsidR="005D11B3" w:rsidRPr="009A4B8A">
        <w:rPr>
          <w:rFonts w:ascii="Calibri" w:hAnsi="Calibri" w:cs="Calibri"/>
          <w:color w:val="000000" w:themeColor="text1"/>
          <w:sz w:val="22"/>
          <w:szCs w:val="22"/>
        </w:rPr>
        <w:t>Euro</w:t>
      </w:r>
      <w:r w:rsidR="009B1241" w:rsidRPr="009A4B8A">
        <w:rPr>
          <w:rFonts w:ascii="Calibri" w:hAnsi="Calibri" w:cs="Calibri"/>
          <w:color w:val="000000" w:themeColor="text1"/>
          <w:sz w:val="22"/>
          <w:szCs w:val="22"/>
        </w:rPr>
        <w:t>pean Union</w:t>
      </w:r>
      <w:r w:rsidRPr="009A4B8A">
        <w:rPr>
          <w:rFonts w:ascii="Calibri" w:hAnsi="Calibri" w:cs="Calibri"/>
          <w:color w:val="000000" w:themeColor="text1"/>
          <w:sz w:val="22"/>
          <w:szCs w:val="22"/>
        </w:rPr>
        <w:t xml:space="preserve"> outside of the beverage alcohol industr</w:t>
      </w:r>
      <w:r w:rsidR="005D11B3" w:rsidRPr="009A4B8A">
        <w:rPr>
          <w:rFonts w:ascii="Calibri" w:hAnsi="Calibri" w:cs="Calibri"/>
          <w:color w:val="000000" w:themeColor="text1"/>
          <w:sz w:val="22"/>
          <w:szCs w:val="22"/>
        </w:rPr>
        <w:t xml:space="preserve">y – leading </w:t>
      </w:r>
      <w:r w:rsidRPr="009A4B8A">
        <w:rPr>
          <w:rFonts w:ascii="Calibri" w:hAnsi="Calibri" w:cs="Calibri"/>
          <w:color w:val="000000" w:themeColor="text1"/>
          <w:sz w:val="22"/>
          <w:szCs w:val="22"/>
        </w:rPr>
        <w:t>to loss of revenue, hiring freezes and general uncertainty</w:t>
      </w:r>
      <w:r w:rsidR="005D11B3" w:rsidRPr="009A4B8A">
        <w:rPr>
          <w:rFonts w:ascii="Calibri" w:hAnsi="Calibri" w:cs="Calibri"/>
          <w:color w:val="000000" w:themeColor="text1"/>
          <w:sz w:val="22"/>
          <w:szCs w:val="22"/>
        </w:rPr>
        <w:t>.</w:t>
      </w:r>
      <w:r w:rsidRPr="009A4B8A">
        <w:rPr>
          <w:rFonts w:ascii="Calibri" w:hAnsi="Calibri" w:cs="Calibri"/>
          <w:color w:val="000000" w:themeColor="text1"/>
          <w:sz w:val="22"/>
          <w:szCs w:val="22"/>
        </w:rPr>
        <w:t xml:space="preserve"> </w:t>
      </w:r>
    </w:p>
    <w:p w14:paraId="408E7FD9" w14:textId="77777777" w:rsidR="009B1241" w:rsidRPr="009A4B8A" w:rsidRDefault="009B1241" w:rsidP="00B35C01">
      <w:pPr>
        <w:contextualSpacing/>
        <w:rPr>
          <w:rFonts w:ascii="Calibri" w:hAnsi="Calibri" w:cs="Calibri"/>
          <w:color w:val="000000" w:themeColor="text1"/>
          <w:sz w:val="22"/>
          <w:szCs w:val="22"/>
        </w:rPr>
      </w:pPr>
    </w:p>
    <w:p w14:paraId="5B8AF189" w14:textId="375047EC" w:rsidR="009B1241" w:rsidRDefault="002C609A" w:rsidP="00B35C01">
      <w:pPr>
        <w:contextualSpacing/>
        <w:rPr>
          <w:rFonts w:ascii="Calibri" w:hAnsi="Calibri" w:cs="Calibri"/>
          <w:color w:val="000000" w:themeColor="text1"/>
          <w:sz w:val="22"/>
          <w:szCs w:val="22"/>
        </w:rPr>
      </w:pPr>
      <w:r>
        <w:rPr>
          <w:rFonts w:ascii="Calibri" w:hAnsi="Calibri" w:cs="Calibri"/>
          <w:color w:val="000000" w:themeColor="text1"/>
          <w:sz w:val="22"/>
          <w:szCs w:val="22"/>
        </w:rPr>
        <w:t xml:space="preserve">A new study released from the Wine &amp; Spirits Wholesalers of America (WSWA) outlines the potential consequence of these tariffs as they are currently understood, without accounting for the compounding impact of the COVID-19 pandemic on the hospitality industry or an expansive expanded list of affected products. </w:t>
      </w:r>
    </w:p>
    <w:p w14:paraId="7A817F02" w14:textId="77777777" w:rsidR="002C609A" w:rsidRDefault="002C609A" w:rsidP="00B35C01">
      <w:pPr>
        <w:contextualSpacing/>
        <w:rPr>
          <w:rFonts w:ascii="Calibri" w:hAnsi="Calibri" w:cs="Calibri"/>
          <w:color w:val="000000" w:themeColor="text1"/>
          <w:sz w:val="22"/>
          <w:szCs w:val="22"/>
        </w:rPr>
      </w:pPr>
    </w:p>
    <w:p w14:paraId="0F702B2D" w14:textId="5D350A87" w:rsidR="002C609A" w:rsidRDefault="002C609A" w:rsidP="00B35C01">
      <w:pPr>
        <w:contextualSpacing/>
        <w:rPr>
          <w:rFonts w:ascii="Calibri" w:hAnsi="Calibri" w:cs="Calibri"/>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0"/>
        <w:gridCol w:w="1170"/>
        <w:gridCol w:w="1440"/>
        <w:gridCol w:w="1422"/>
        <w:gridCol w:w="1620"/>
      </w:tblGrid>
      <w:tr w:rsidR="002C609A" w:rsidRPr="00634CA5" w14:paraId="01534DE6" w14:textId="77777777" w:rsidTr="003E0D6E">
        <w:trPr>
          <w:trHeight w:val="629"/>
          <w:jc w:val="center"/>
        </w:trPr>
        <w:tc>
          <w:tcPr>
            <w:tcW w:w="2790" w:type="dxa"/>
            <w:vAlign w:val="center"/>
          </w:tcPr>
          <w:p w14:paraId="123264E0" w14:textId="77777777" w:rsidR="002C609A" w:rsidRPr="00634CA5" w:rsidRDefault="002C609A" w:rsidP="003E0D6E">
            <w:pPr>
              <w:contextualSpacing/>
              <w:jc w:val="center"/>
              <w:rPr>
                <w:rFonts w:ascii="Calibri" w:hAnsi="Calibri" w:cs="Calibri"/>
                <w:b/>
                <w:bCs/>
                <w:sz w:val="18"/>
                <w:szCs w:val="18"/>
              </w:rPr>
            </w:pPr>
            <w:r>
              <w:rPr>
                <w:rFonts w:ascii="Calibri" w:hAnsi="Calibri" w:cs="Calibri"/>
                <w:b/>
                <w:bCs/>
                <w:sz w:val="18"/>
                <w:szCs w:val="18"/>
              </w:rPr>
              <w:t>Product</w:t>
            </w:r>
          </w:p>
        </w:tc>
        <w:tc>
          <w:tcPr>
            <w:tcW w:w="1170" w:type="dxa"/>
            <w:vAlign w:val="center"/>
          </w:tcPr>
          <w:p w14:paraId="3254A823" w14:textId="77777777" w:rsidR="002C609A" w:rsidRPr="00634CA5" w:rsidRDefault="002C609A" w:rsidP="003E0D6E">
            <w:pPr>
              <w:contextualSpacing/>
              <w:jc w:val="center"/>
              <w:rPr>
                <w:rFonts w:ascii="Calibri" w:hAnsi="Calibri" w:cs="Calibri"/>
                <w:b/>
                <w:bCs/>
                <w:sz w:val="18"/>
                <w:szCs w:val="18"/>
              </w:rPr>
            </w:pPr>
            <w:r w:rsidRPr="00634CA5">
              <w:rPr>
                <w:rFonts w:ascii="Calibri" w:hAnsi="Calibri" w:cs="Calibri"/>
                <w:b/>
                <w:bCs/>
                <w:sz w:val="18"/>
                <w:szCs w:val="18"/>
              </w:rPr>
              <w:t>Wholesaler Jobs Lost</w:t>
            </w:r>
          </w:p>
        </w:tc>
        <w:tc>
          <w:tcPr>
            <w:tcW w:w="1440" w:type="dxa"/>
            <w:vAlign w:val="center"/>
          </w:tcPr>
          <w:p w14:paraId="74C31A7B" w14:textId="77777777" w:rsidR="002C609A" w:rsidRPr="00634CA5" w:rsidRDefault="002C609A" w:rsidP="003E0D6E">
            <w:pPr>
              <w:contextualSpacing/>
              <w:jc w:val="center"/>
              <w:rPr>
                <w:rFonts w:ascii="Calibri" w:hAnsi="Calibri" w:cs="Calibri"/>
                <w:b/>
                <w:bCs/>
                <w:sz w:val="18"/>
                <w:szCs w:val="18"/>
              </w:rPr>
            </w:pPr>
            <w:r w:rsidRPr="00634CA5">
              <w:rPr>
                <w:rFonts w:ascii="Calibri" w:hAnsi="Calibri" w:cs="Calibri"/>
                <w:b/>
                <w:bCs/>
                <w:sz w:val="18"/>
                <w:szCs w:val="18"/>
              </w:rPr>
              <w:t>Industry-Wide Jobs Lost</w:t>
            </w:r>
          </w:p>
        </w:tc>
        <w:tc>
          <w:tcPr>
            <w:tcW w:w="1422" w:type="dxa"/>
            <w:vAlign w:val="center"/>
          </w:tcPr>
          <w:p w14:paraId="7BDBE3BB" w14:textId="77777777" w:rsidR="002C609A" w:rsidRPr="00634CA5" w:rsidRDefault="002C609A" w:rsidP="003E0D6E">
            <w:pPr>
              <w:contextualSpacing/>
              <w:jc w:val="center"/>
              <w:rPr>
                <w:rFonts w:ascii="Calibri" w:hAnsi="Calibri" w:cs="Calibri"/>
                <w:b/>
                <w:bCs/>
                <w:sz w:val="18"/>
                <w:szCs w:val="18"/>
              </w:rPr>
            </w:pPr>
            <w:r w:rsidRPr="00634CA5">
              <w:rPr>
                <w:rFonts w:ascii="Calibri" w:hAnsi="Calibri" w:cs="Calibri"/>
                <w:b/>
                <w:bCs/>
                <w:sz w:val="18"/>
                <w:szCs w:val="18"/>
              </w:rPr>
              <w:t>Industry-Wide Wages Lost</w:t>
            </w:r>
          </w:p>
        </w:tc>
        <w:tc>
          <w:tcPr>
            <w:tcW w:w="1620" w:type="dxa"/>
            <w:vAlign w:val="center"/>
          </w:tcPr>
          <w:p w14:paraId="3DBC714C" w14:textId="77777777" w:rsidR="002C609A" w:rsidRPr="00634CA5" w:rsidRDefault="002C609A" w:rsidP="003E0D6E">
            <w:pPr>
              <w:contextualSpacing/>
              <w:jc w:val="center"/>
              <w:rPr>
                <w:rFonts w:ascii="Calibri" w:hAnsi="Calibri" w:cs="Calibri"/>
                <w:b/>
                <w:bCs/>
                <w:sz w:val="18"/>
                <w:szCs w:val="18"/>
              </w:rPr>
            </w:pPr>
            <w:r w:rsidRPr="00634CA5">
              <w:rPr>
                <w:rFonts w:ascii="Calibri" w:hAnsi="Calibri" w:cs="Calibri"/>
                <w:b/>
                <w:bCs/>
                <w:sz w:val="18"/>
                <w:szCs w:val="18"/>
              </w:rPr>
              <w:t>Loss in U.S. Economic Activity</w:t>
            </w:r>
          </w:p>
        </w:tc>
      </w:tr>
      <w:tr w:rsidR="002C609A" w:rsidRPr="002063B3" w14:paraId="56673DE6" w14:textId="77777777" w:rsidTr="003E0D6E">
        <w:trPr>
          <w:trHeight w:val="440"/>
          <w:jc w:val="center"/>
        </w:trPr>
        <w:tc>
          <w:tcPr>
            <w:tcW w:w="2790" w:type="dxa"/>
            <w:vAlign w:val="center"/>
          </w:tcPr>
          <w:p w14:paraId="73E0297F" w14:textId="77777777" w:rsidR="002C609A" w:rsidRPr="002F32B6" w:rsidRDefault="002C609A" w:rsidP="003E0D6E">
            <w:pPr>
              <w:contextualSpacing/>
              <w:jc w:val="right"/>
              <w:rPr>
                <w:rFonts w:ascii="Calibri" w:hAnsi="Calibri" w:cs="Calibri"/>
                <w:bCs/>
                <w:sz w:val="18"/>
                <w:szCs w:val="18"/>
              </w:rPr>
            </w:pPr>
            <w:r w:rsidRPr="002F32B6">
              <w:rPr>
                <w:rFonts w:ascii="Calibri" w:hAnsi="Calibri" w:cs="Calibri"/>
                <w:bCs/>
                <w:sz w:val="18"/>
                <w:szCs w:val="18"/>
              </w:rPr>
              <w:t>Wine</w:t>
            </w:r>
          </w:p>
        </w:tc>
        <w:tc>
          <w:tcPr>
            <w:tcW w:w="1170" w:type="dxa"/>
            <w:vAlign w:val="center"/>
          </w:tcPr>
          <w:p w14:paraId="79A4EF23"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1,000</w:t>
            </w:r>
          </w:p>
        </w:tc>
        <w:tc>
          <w:tcPr>
            <w:tcW w:w="1440" w:type="dxa"/>
            <w:vAlign w:val="center"/>
          </w:tcPr>
          <w:p w14:paraId="4776FCCA"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36,460</w:t>
            </w:r>
          </w:p>
        </w:tc>
        <w:tc>
          <w:tcPr>
            <w:tcW w:w="1422" w:type="dxa"/>
            <w:vAlign w:val="center"/>
          </w:tcPr>
          <w:p w14:paraId="3ACC9A97"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$1,450 M</w:t>
            </w:r>
          </w:p>
        </w:tc>
        <w:tc>
          <w:tcPr>
            <w:tcW w:w="1620" w:type="dxa"/>
            <w:vAlign w:val="center"/>
          </w:tcPr>
          <w:p w14:paraId="56535817"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$3,094.5 M</w:t>
            </w:r>
          </w:p>
        </w:tc>
      </w:tr>
      <w:tr w:rsidR="002C609A" w:rsidRPr="002063B3" w14:paraId="667C4427" w14:textId="77777777" w:rsidTr="003E0D6E">
        <w:trPr>
          <w:trHeight w:val="431"/>
          <w:jc w:val="center"/>
        </w:trPr>
        <w:tc>
          <w:tcPr>
            <w:tcW w:w="2790" w:type="dxa"/>
            <w:vAlign w:val="center"/>
          </w:tcPr>
          <w:p w14:paraId="51BE8EB3" w14:textId="77777777" w:rsidR="002C609A" w:rsidRPr="00325874" w:rsidRDefault="002C609A" w:rsidP="003E0D6E">
            <w:pPr>
              <w:contextualSpacing/>
              <w:jc w:val="right"/>
              <w:rPr>
                <w:rFonts w:ascii="Calibri" w:hAnsi="Calibri" w:cs="Calibri"/>
                <w:sz w:val="18"/>
                <w:szCs w:val="18"/>
              </w:rPr>
            </w:pPr>
            <w:r w:rsidRPr="002F32B6">
              <w:rPr>
                <w:rFonts w:ascii="Calibri" w:hAnsi="Calibri" w:cs="Calibri"/>
                <w:bCs/>
                <w:sz w:val="18"/>
                <w:szCs w:val="18"/>
              </w:rPr>
              <w:t>Italian Still</w:t>
            </w:r>
            <w:r w:rsidRPr="002F32B6">
              <w:rPr>
                <w:rFonts w:ascii="Calibri" w:hAnsi="Calibri" w:cs="Calibri"/>
                <w:bCs/>
                <w:i/>
                <w:iCs/>
                <w:sz w:val="18"/>
                <w:szCs w:val="18"/>
              </w:rPr>
              <w:t xml:space="preserve"> </w:t>
            </w:r>
            <w:r w:rsidRPr="002F32B6">
              <w:rPr>
                <w:rFonts w:ascii="Calibri" w:hAnsi="Calibri" w:cs="Calibri"/>
                <w:bCs/>
                <w:sz w:val="18"/>
                <w:szCs w:val="18"/>
              </w:rPr>
              <w:t>Wine</w:t>
            </w:r>
            <w:r>
              <w:rPr>
                <w:rFonts w:ascii="Calibri" w:hAnsi="Calibri" w:cs="Calibri"/>
                <w:b/>
                <w:bCs/>
                <w:sz w:val="18"/>
                <w:szCs w:val="18"/>
              </w:rPr>
              <w:t xml:space="preserve"> </w:t>
            </w:r>
            <w:r w:rsidRPr="00325874">
              <w:rPr>
                <w:rFonts w:ascii="Calibri" w:hAnsi="Calibri" w:cs="Calibri"/>
                <w:i/>
                <w:iCs/>
                <w:sz w:val="18"/>
                <w:szCs w:val="18"/>
              </w:rPr>
              <w:t>(proposed)</w:t>
            </w:r>
          </w:p>
        </w:tc>
        <w:tc>
          <w:tcPr>
            <w:tcW w:w="1170" w:type="dxa"/>
            <w:vAlign w:val="center"/>
          </w:tcPr>
          <w:p w14:paraId="16754352"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500</w:t>
            </w:r>
          </w:p>
        </w:tc>
        <w:tc>
          <w:tcPr>
            <w:tcW w:w="1440" w:type="dxa"/>
            <w:vAlign w:val="center"/>
          </w:tcPr>
          <w:p w14:paraId="2BA44F8C"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18,610</w:t>
            </w:r>
          </w:p>
        </w:tc>
        <w:tc>
          <w:tcPr>
            <w:tcW w:w="1422" w:type="dxa"/>
            <w:vAlign w:val="center"/>
          </w:tcPr>
          <w:p w14:paraId="598C6E85"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$753.1 M</w:t>
            </w:r>
          </w:p>
        </w:tc>
        <w:tc>
          <w:tcPr>
            <w:tcW w:w="1620" w:type="dxa"/>
            <w:vAlign w:val="center"/>
          </w:tcPr>
          <w:p w14:paraId="7B78DB26"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$2,135.4 M</w:t>
            </w:r>
          </w:p>
        </w:tc>
      </w:tr>
      <w:tr w:rsidR="002C609A" w:rsidRPr="002063B3" w14:paraId="7A9ECAD5" w14:textId="77777777" w:rsidTr="003E0D6E">
        <w:trPr>
          <w:trHeight w:val="449"/>
          <w:jc w:val="center"/>
        </w:trPr>
        <w:tc>
          <w:tcPr>
            <w:tcW w:w="2790" w:type="dxa"/>
            <w:vAlign w:val="center"/>
          </w:tcPr>
          <w:p w14:paraId="484F760B" w14:textId="77777777" w:rsidR="002C609A" w:rsidRPr="002F32B6" w:rsidRDefault="002C609A" w:rsidP="003E0D6E">
            <w:pPr>
              <w:contextualSpacing/>
              <w:jc w:val="right"/>
              <w:rPr>
                <w:rFonts w:ascii="Calibri" w:hAnsi="Calibri" w:cs="Calibri"/>
                <w:bCs/>
                <w:sz w:val="18"/>
                <w:szCs w:val="18"/>
              </w:rPr>
            </w:pPr>
            <w:r w:rsidRPr="002F32B6">
              <w:rPr>
                <w:rFonts w:ascii="Calibri" w:hAnsi="Calibri" w:cs="Calibri"/>
                <w:bCs/>
                <w:sz w:val="18"/>
                <w:szCs w:val="18"/>
              </w:rPr>
              <w:t>Whiskey</w:t>
            </w:r>
          </w:p>
        </w:tc>
        <w:tc>
          <w:tcPr>
            <w:tcW w:w="1170" w:type="dxa"/>
            <w:vAlign w:val="center"/>
          </w:tcPr>
          <w:p w14:paraId="2B7050B9"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1,350</w:t>
            </w:r>
          </w:p>
        </w:tc>
        <w:tc>
          <w:tcPr>
            <w:tcW w:w="1440" w:type="dxa"/>
            <w:vAlign w:val="center"/>
          </w:tcPr>
          <w:p w14:paraId="0ED5A30D"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41,880</w:t>
            </w:r>
          </w:p>
        </w:tc>
        <w:tc>
          <w:tcPr>
            <w:tcW w:w="1422" w:type="dxa"/>
            <w:vAlign w:val="center"/>
          </w:tcPr>
          <w:p w14:paraId="34DCD508"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$1,723.1 M</w:t>
            </w:r>
          </w:p>
        </w:tc>
        <w:tc>
          <w:tcPr>
            <w:tcW w:w="1620" w:type="dxa"/>
            <w:vAlign w:val="center"/>
          </w:tcPr>
          <w:p w14:paraId="16E56D4C"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$6,027 M</w:t>
            </w:r>
          </w:p>
        </w:tc>
      </w:tr>
      <w:tr w:rsidR="002C609A" w:rsidRPr="002063B3" w14:paraId="4265C8C6" w14:textId="77777777" w:rsidTr="003E0D6E">
        <w:trPr>
          <w:trHeight w:val="440"/>
          <w:jc w:val="center"/>
        </w:trPr>
        <w:tc>
          <w:tcPr>
            <w:tcW w:w="2790" w:type="dxa"/>
            <w:tcBorders>
              <w:bottom w:val="single" w:sz="12" w:space="0" w:color="auto"/>
            </w:tcBorders>
            <w:vAlign w:val="center"/>
          </w:tcPr>
          <w:p w14:paraId="38D83F7F" w14:textId="77777777" w:rsidR="002C609A" w:rsidRPr="002F32B6" w:rsidRDefault="002C609A" w:rsidP="003E0D6E">
            <w:pPr>
              <w:contextualSpacing/>
              <w:jc w:val="right"/>
              <w:rPr>
                <w:rFonts w:ascii="Calibri" w:hAnsi="Calibri" w:cs="Calibri"/>
                <w:bCs/>
                <w:sz w:val="18"/>
                <w:szCs w:val="18"/>
              </w:rPr>
            </w:pPr>
            <w:r w:rsidRPr="002F32B6">
              <w:rPr>
                <w:rFonts w:ascii="Calibri" w:hAnsi="Calibri" w:cs="Calibri"/>
                <w:bCs/>
                <w:sz w:val="18"/>
                <w:szCs w:val="18"/>
              </w:rPr>
              <w:t>Cordials</w:t>
            </w:r>
          </w:p>
        </w:tc>
        <w:tc>
          <w:tcPr>
            <w:tcW w:w="1170" w:type="dxa"/>
            <w:tcBorders>
              <w:bottom w:val="single" w:sz="12" w:space="0" w:color="auto"/>
            </w:tcBorders>
            <w:vAlign w:val="center"/>
          </w:tcPr>
          <w:p w14:paraId="5B08B730"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460</w:t>
            </w:r>
          </w:p>
        </w:tc>
        <w:tc>
          <w:tcPr>
            <w:tcW w:w="1440" w:type="dxa"/>
            <w:tcBorders>
              <w:bottom w:val="single" w:sz="12" w:space="0" w:color="auto"/>
            </w:tcBorders>
            <w:vAlign w:val="center"/>
          </w:tcPr>
          <w:p w14:paraId="78689449"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14,230</w:t>
            </w:r>
          </w:p>
        </w:tc>
        <w:tc>
          <w:tcPr>
            <w:tcW w:w="1422" w:type="dxa"/>
            <w:tcBorders>
              <w:bottom w:val="single" w:sz="12" w:space="0" w:color="auto"/>
            </w:tcBorders>
            <w:vAlign w:val="center"/>
          </w:tcPr>
          <w:p w14:paraId="5F0DAB48"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$582.7 M</w:t>
            </w:r>
          </w:p>
        </w:tc>
        <w:tc>
          <w:tcPr>
            <w:tcW w:w="1620" w:type="dxa"/>
            <w:tcBorders>
              <w:bottom w:val="single" w:sz="12" w:space="0" w:color="auto"/>
            </w:tcBorders>
            <w:vAlign w:val="center"/>
          </w:tcPr>
          <w:p w14:paraId="2A70BF40" w14:textId="77777777" w:rsidR="002C609A" w:rsidRPr="002063B3" w:rsidRDefault="002C609A" w:rsidP="003E0D6E">
            <w:pPr>
              <w:contextualSpacing/>
              <w:jc w:val="center"/>
              <w:rPr>
                <w:rFonts w:ascii="Calibri" w:hAnsi="Calibri" w:cs="Calibri"/>
                <w:sz w:val="18"/>
                <w:szCs w:val="18"/>
              </w:rPr>
            </w:pPr>
            <w:r>
              <w:rPr>
                <w:rFonts w:ascii="Calibri" w:hAnsi="Calibri" w:cs="Calibri"/>
                <w:sz w:val="18"/>
                <w:szCs w:val="18"/>
              </w:rPr>
              <w:t>$2,040.6 M</w:t>
            </w:r>
          </w:p>
        </w:tc>
      </w:tr>
      <w:tr w:rsidR="002C609A" w:rsidRPr="002C609A" w14:paraId="4ECD172B" w14:textId="77777777" w:rsidTr="003E0D6E">
        <w:trPr>
          <w:trHeight w:val="440"/>
          <w:jc w:val="center"/>
        </w:trPr>
        <w:tc>
          <w:tcPr>
            <w:tcW w:w="2790" w:type="dxa"/>
            <w:tcBorders>
              <w:top w:val="single" w:sz="12" w:space="0" w:color="auto"/>
            </w:tcBorders>
            <w:shd w:val="clear" w:color="auto" w:fill="auto"/>
            <w:vAlign w:val="center"/>
          </w:tcPr>
          <w:p w14:paraId="55D43B8E" w14:textId="77777777" w:rsidR="002C609A" w:rsidRPr="002C609A" w:rsidRDefault="002C609A" w:rsidP="003E0D6E">
            <w:pPr>
              <w:contextualSpacing/>
              <w:jc w:val="right"/>
              <w:rPr>
                <w:rFonts w:ascii="Calibri" w:hAnsi="Calibri" w:cs="Calibri"/>
                <w:b/>
                <w:bCs/>
                <w:color w:val="000000" w:themeColor="text1"/>
                <w:sz w:val="18"/>
                <w:szCs w:val="18"/>
              </w:rPr>
            </w:pPr>
            <w:r w:rsidRPr="002C609A">
              <w:rPr>
                <w:rFonts w:ascii="Calibri" w:hAnsi="Calibri" w:cs="Calibri"/>
                <w:b/>
                <w:bCs/>
                <w:color w:val="000000" w:themeColor="text1"/>
                <w:sz w:val="18"/>
                <w:szCs w:val="18"/>
              </w:rPr>
              <w:t>Total</w:t>
            </w:r>
          </w:p>
        </w:tc>
        <w:tc>
          <w:tcPr>
            <w:tcW w:w="1170" w:type="dxa"/>
            <w:tcBorders>
              <w:top w:val="single" w:sz="12" w:space="0" w:color="auto"/>
            </w:tcBorders>
            <w:shd w:val="clear" w:color="auto" w:fill="auto"/>
            <w:vAlign w:val="center"/>
          </w:tcPr>
          <w:p w14:paraId="49FD9871"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2,810</w:t>
            </w:r>
          </w:p>
        </w:tc>
        <w:tc>
          <w:tcPr>
            <w:tcW w:w="1440" w:type="dxa"/>
            <w:tcBorders>
              <w:top w:val="single" w:sz="12" w:space="0" w:color="auto"/>
            </w:tcBorders>
            <w:shd w:val="clear" w:color="auto" w:fill="auto"/>
            <w:vAlign w:val="center"/>
          </w:tcPr>
          <w:p w14:paraId="20CE096F"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92,570</w:t>
            </w:r>
          </w:p>
        </w:tc>
        <w:tc>
          <w:tcPr>
            <w:tcW w:w="1422" w:type="dxa"/>
            <w:tcBorders>
              <w:top w:val="single" w:sz="12" w:space="0" w:color="auto"/>
            </w:tcBorders>
            <w:shd w:val="clear" w:color="auto" w:fill="auto"/>
            <w:vAlign w:val="center"/>
          </w:tcPr>
          <w:p w14:paraId="1B4CADC2"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$3,755.8 M</w:t>
            </w:r>
          </w:p>
        </w:tc>
        <w:tc>
          <w:tcPr>
            <w:tcW w:w="1620" w:type="dxa"/>
            <w:tcBorders>
              <w:top w:val="single" w:sz="12" w:space="0" w:color="auto"/>
            </w:tcBorders>
            <w:shd w:val="clear" w:color="auto" w:fill="auto"/>
            <w:vAlign w:val="center"/>
          </w:tcPr>
          <w:p w14:paraId="67B2BB6C"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$11,162.1 M</w:t>
            </w:r>
          </w:p>
        </w:tc>
      </w:tr>
      <w:tr w:rsidR="002C609A" w:rsidRPr="002C609A" w14:paraId="73E93233" w14:textId="77777777" w:rsidTr="003E0D6E">
        <w:trPr>
          <w:trHeight w:val="521"/>
          <w:jc w:val="center"/>
        </w:trPr>
        <w:tc>
          <w:tcPr>
            <w:tcW w:w="2790" w:type="dxa"/>
            <w:shd w:val="clear" w:color="auto" w:fill="auto"/>
            <w:vAlign w:val="center"/>
          </w:tcPr>
          <w:p w14:paraId="2CFEACE8" w14:textId="77777777" w:rsidR="002C609A" w:rsidRPr="002C609A" w:rsidRDefault="002C609A" w:rsidP="003E0D6E">
            <w:pPr>
              <w:contextualSpacing/>
              <w:jc w:val="right"/>
              <w:rPr>
                <w:rFonts w:ascii="Calibri" w:hAnsi="Calibri" w:cs="Calibri"/>
                <w:b/>
                <w:bCs/>
                <w:color w:val="000000" w:themeColor="text1"/>
                <w:sz w:val="18"/>
                <w:szCs w:val="18"/>
              </w:rPr>
            </w:pPr>
            <w:r w:rsidRPr="002C609A">
              <w:rPr>
                <w:rFonts w:ascii="Calibri" w:hAnsi="Calibri" w:cs="Calibri"/>
                <w:b/>
                <w:bCs/>
                <w:color w:val="000000" w:themeColor="text1"/>
                <w:sz w:val="18"/>
                <w:szCs w:val="18"/>
              </w:rPr>
              <w:t xml:space="preserve">Total </w:t>
            </w:r>
            <w:r w:rsidRPr="002C609A">
              <w:rPr>
                <w:rFonts w:ascii="Calibri" w:hAnsi="Calibri" w:cs="Calibri"/>
                <w:b/>
                <w:bCs/>
                <w:i/>
                <w:iCs/>
                <w:color w:val="000000" w:themeColor="text1"/>
                <w:sz w:val="18"/>
                <w:szCs w:val="18"/>
              </w:rPr>
              <w:t>(including Italian still wines)</w:t>
            </w:r>
          </w:p>
        </w:tc>
        <w:tc>
          <w:tcPr>
            <w:tcW w:w="1170" w:type="dxa"/>
            <w:shd w:val="clear" w:color="auto" w:fill="auto"/>
            <w:vAlign w:val="center"/>
          </w:tcPr>
          <w:p w14:paraId="413C036B"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3,310</w:t>
            </w:r>
          </w:p>
        </w:tc>
        <w:tc>
          <w:tcPr>
            <w:tcW w:w="1440" w:type="dxa"/>
            <w:shd w:val="clear" w:color="auto" w:fill="auto"/>
            <w:vAlign w:val="center"/>
          </w:tcPr>
          <w:p w14:paraId="365BF01F"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111,180</w:t>
            </w:r>
          </w:p>
        </w:tc>
        <w:tc>
          <w:tcPr>
            <w:tcW w:w="1422" w:type="dxa"/>
            <w:shd w:val="clear" w:color="auto" w:fill="auto"/>
            <w:vAlign w:val="center"/>
          </w:tcPr>
          <w:p w14:paraId="00179D59"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$4508.9 M</w:t>
            </w:r>
          </w:p>
        </w:tc>
        <w:tc>
          <w:tcPr>
            <w:tcW w:w="1620" w:type="dxa"/>
            <w:shd w:val="clear" w:color="auto" w:fill="auto"/>
            <w:vAlign w:val="center"/>
          </w:tcPr>
          <w:p w14:paraId="24FC08C5" w14:textId="77777777" w:rsidR="002C609A" w:rsidRPr="002C609A" w:rsidRDefault="002C609A" w:rsidP="003E0D6E">
            <w:pPr>
              <w:contextualSpacing/>
              <w:jc w:val="center"/>
              <w:rPr>
                <w:rFonts w:ascii="Calibri" w:hAnsi="Calibri" w:cs="Calibri"/>
                <w:b/>
                <w:bCs/>
                <w:color w:val="000000" w:themeColor="text1"/>
                <w:sz w:val="18"/>
                <w:szCs w:val="18"/>
              </w:rPr>
            </w:pPr>
            <w:r w:rsidRPr="002C609A">
              <w:rPr>
                <w:rFonts w:ascii="Calibri" w:hAnsi="Calibri" w:cs="Calibri"/>
                <w:b/>
                <w:bCs/>
                <w:color w:val="000000" w:themeColor="text1"/>
                <w:sz w:val="18"/>
                <w:szCs w:val="18"/>
              </w:rPr>
              <w:t>$13,297.5 M</w:t>
            </w:r>
          </w:p>
        </w:tc>
      </w:tr>
    </w:tbl>
    <w:p w14:paraId="244E62F9" w14:textId="6E37AC9E" w:rsidR="005D11B3" w:rsidRPr="009A4B8A" w:rsidRDefault="005D11B3" w:rsidP="00B35C01">
      <w:pPr>
        <w:contextualSpacing/>
        <w:rPr>
          <w:rFonts w:ascii="Calibri" w:hAnsi="Calibri" w:cs="Calibri"/>
          <w:color w:val="000000" w:themeColor="text1"/>
          <w:sz w:val="22"/>
          <w:szCs w:val="22"/>
        </w:rPr>
      </w:pPr>
    </w:p>
    <w:p w14:paraId="6EAF58D5" w14:textId="54EF7588" w:rsidR="00B35C01" w:rsidRPr="009A4B8A" w:rsidRDefault="006C5991" w:rsidP="001B0CFA">
      <w:pPr>
        <w:jc w:val="both"/>
        <w:rPr>
          <w:rFonts w:ascii="Calibri" w:hAnsi="Calibri" w:cs="Calibri"/>
          <w:color w:val="000000" w:themeColor="text1"/>
          <w:sz w:val="22"/>
          <w:szCs w:val="22"/>
        </w:rPr>
      </w:pPr>
      <w:r w:rsidRPr="003B4CF0">
        <w:rPr>
          <w:rFonts w:ascii="Calibri" w:hAnsi="Calibri" w:cs="Calibri"/>
          <w:color w:val="000000" w:themeColor="text1"/>
          <w:sz w:val="22"/>
          <w:szCs w:val="22"/>
          <w:highlight w:val="yellow"/>
        </w:rPr>
        <w:t>[CALL TO ACTION QUOTE PREASSURING THE EU AND U.S. TRADE OFFICIALS TO MAKE A DEAL]</w:t>
      </w:r>
    </w:p>
    <w:p w14:paraId="3CAAEA49" w14:textId="77777777" w:rsidR="006C5991" w:rsidRPr="009A4B8A" w:rsidRDefault="006C5991" w:rsidP="00B35C01">
      <w:pPr>
        <w:rPr>
          <w:rFonts w:ascii="Calibri" w:hAnsi="Calibri" w:cs="Calibri"/>
          <w:color w:val="000000" w:themeColor="text1"/>
          <w:sz w:val="22"/>
          <w:szCs w:val="22"/>
        </w:rPr>
      </w:pPr>
    </w:p>
    <w:p w14:paraId="35AB5A4A" w14:textId="0629AA66" w:rsidR="00B35C01" w:rsidRPr="009A4B8A" w:rsidRDefault="00B35C01" w:rsidP="00B35C01">
      <w:pPr>
        <w:jc w:val="center"/>
        <w:rPr>
          <w:rFonts w:ascii="Calibri" w:hAnsi="Calibri" w:cs="Calibri"/>
          <w:b/>
          <w:bCs/>
          <w:color w:val="000000" w:themeColor="text1"/>
          <w:sz w:val="22"/>
          <w:szCs w:val="22"/>
        </w:rPr>
      </w:pPr>
      <w:r w:rsidRPr="009A4B8A">
        <w:rPr>
          <w:rFonts w:ascii="Calibri" w:hAnsi="Calibri" w:cs="Calibri"/>
          <w:b/>
          <w:bCs/>
          <w:color w:val="000000" w:themeColor="text1"/>
          <w:sz w:val="22"/>
          <w:szCs w:val="22"/>
        </w:rPr>
        <w:t>###</w:t>
      </w:r>
    </w:p>
    <w:p w14:paraId="09B39949" w14:textId="77777777" w:rsidR="00B35C01" w:rsidRPr="009A4B8A" w:rsidRDefault="00B35C01" w:rsidP="00B35C01">
      <w:pPr>
        <w:rPr>
          <w:rFonts w:ascii="Calibri" w:hAnsi="Calibri" w:cs="Calibri"/>
          <w:color w:val="000000" w:themeColor="text1"/>
          <w:sz w:val="22"/>
          <w:szCs w:val="22"/>
        </w:rPr>
      </w:pPr>
    </w:p>
    <w:p w14:paraId="4A0C352C" w14:textId="77777777" w:rsidR="00B35C01" w:rsidRPr="009A4B8A" w:rsidRDefault="00B35C01" w:rsidP="00B35C01">
      <w:pPr>
        <w:rPr>
          <w:rFonts w:ascii="Calibri" w:hAnsi="Calibri" w:cs="Calibri"/>
          <w:color w:val="000000" w:themeColor="text1"/>
          <w:sz w:val="22"/>
          <w:szCs w:val="22"/>
        </w:rPr>
      </w:pPr>
    </w:p>
    <w:p w14:paraId="5160C6E7" w14:textId="77777777" w:rsidR="00B35C01" w:rsidRPr="009A4B8A" w:rsidRDefault="00B35C01" w:rsidP="00B35C01">
      <w:pPr>
        <w:rPr>
          <w:rFonts w:ascii="Calibri" w:hAnsi="Calibri" w:cs="Calibri"/>
          <w:color w:val="000000" w:themeColor="text1"/>
          <w:sz w:val="22"/>
          <w:szCs w:val="22"/>
        </w:rPr>
      </w:pPr>
    </w:p>
    <w:p w14:paraId="08BB77AB" w14:textId="77777777" w:rsidR="00B35C01" w:rsidRPr="009A4B8A" w:rsidRDefault="00B35C01" w:rsidP="00B35C01">
      <w:pPr>
        <w:rPr>
          <w:rFonts w:ascii="Calibri" w:hAnsi="Calibri" w:cs="Calibri"/>
          <w:color w:val="000000" w:themeColor="text1"/>
          <w:sz w:val="22"/>
          <w:szCs w:val="22"/>
        </w:rPr>
      </w:pPr>
    </w:p>
    <w:p w14:paraId="1AEA963E" w14:textId="77777777" w:rsidR="00B35C01" w:rsidRPr="009A4B8A" w:rsidRDefault="00B35C01" w:rsidP="00B35C01">
      <w:pPr>
        <w:rPr>
          <w:rFonts w:ascii="Calibri" w:hAnsi="Calibri" w:cs="Calibri"/>
          <w:color w:val="000000" w:themeColor="text1"/>
          <w:sz w:val="22"/>
          <w:szCs w:val="22"/>
        </w:rPr>
      </w:pPr>
    </w:p>
    <w:p w14:paraId="58F36357" w14:textId="77777777" w:rsidR="00F95002" w:rsidRDefault="003A0C06"/>
    <w:sectPr w:rsidR="00F95002" w:rsidSect="007D1A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65C54" w14:textId="77777777" w:rsidR="009175A9" w:rsidRDefault="009175A9" w:rsidP="000F1082">
      <w:r>
        <w:separator/>
      </w:r>
    </w:p>
  </w:endnote>
  <w:endnote w:type="continuationSeparator" w:id="0">
    <w:p w14:paraId="1D838F67" w14:textId="77777777" w:rsidR="009175A9" w:rsidRDefault="009175A9" w:rsidP="000F1082">
      <w:r>
        <w:continuationSeparator/>
      </w:r>
    </w:p>
  </w:endnote>
  <w:endnote w:type="continuationNotice" w:id="1">
    <w:p w14:paraId="22BBA80D" w14:textId="77777777" w:rsidR="009175A9" w:rsidRDefault="0091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B57C" w14:textId="77777777" w:rsidR="009175A9" w:rsidRDefault="009175A9" w:rsidP="000F1082">
      <w:r>
        <w:separator/>
      </w:r>
    </w:p>
  </w:footnote>
  <w:footnote w:type="continuationSeparator" w:id="0">
    <w:p w14:paraId="49891DE7" w14:textId="77777777" w:rsidR="009175A9" w:rsidRDefault="009175A9" w:rsidP="000F1082">
      <w:r>
        <w:continuationSeparator/>
      </w:r>
    </w:p>
  </w:footnote>
  <w:footnote w:type="continuationNotice" w:id="1">
    <w:p w14:paraId="2014B04F" w14:textId="77777777" w:rsidR="009175A9" w:rsidRDefault="00917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A3E" w14:textId="1B8B2889" w:rsidR="000F1082" w:rsidRDefault="000F1082" w:rsidP="0098149D">
    <w:pPr>
      <w:pStyle w:val="Header"/>
    </w:pPr>
  </w:p>
  <w:p w14:paraId="3795FDD5" w14:textId="77777777" w:rsidR="000F1082" w:rsidRDefault="000F1082" w:rsidP="000F108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82"/>
    <w:rsid w:val="0008284C"/>
    <w:rsid w:val="000F1082"/>
    <w:rsid w:val="001B0CFA"/>
    <w:rsid w:val="001B1E84"/>
    <w:rsid w:val="001D3415"/>
    <w:rsid w:val="002C609A"/>
    <w:rsid w:val="00304B51"/>
    <w:rsid w:val="003B4CF0"/>
    <w:rsid w:val="003D5D2D"/>
    <w:rsid w:val="005D11B3"/>
    <w:rsid w:val="00631700"/>
    <w:rsid w:val="00665B1B"/>
    <w:rsid w:val="006C5991"/>
    <w:rsid w:val="006D08F3"/>
    <w:rsid w:val="00774042"/>
    <w:rsid w:val="0079465E"/>
    <w:rsid w:val="007D1A28"/>
    <w:rsid w:val="0081248B"/>
    <w:rsid w:val="00817E98"/>
    <w:rsid w:val="009175A9"/>
    <w:rsid w:val="0098149D"/>
    <w:rsid w:val="00992F9B"/>
    <w:rsid w:val="009A4B8A"/>
    <w:rsid w:val="009B1241"/>
    <w:rsid w:val="009D334F"/>
    <w:rsid w:val="00A02E5D"/>
    <w:rsid w:val="00A12A51"/>
    <w:rsid w:val="00B35C01"/>
    <w:rsid w:val="00B41CE7"/>
    <w:rsid w:val="00C733DC"/>
    <w:rsid w:val="00CB0495"/>
    <w:rsid w:val="00CF42EB"/>
    <w:rsid w:val="00D10697"/>
    <w:rsid w:val="00D44015"/>
    <w:rsid w:val="00D81329"/>
    <w:rsid w:val="00E74E0B"/>
    <w:rsid w:val="00E74FD7"/>
    <w:rsid w:val="00F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646C"/>
  <w15:chartTrackingRefBased/>
  <w15:docId w15:val="{45BF264C-31EC-924D-ADEF-5CA7164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01"/>
    <w:rPr>
      <w:rFonts w:eastAsiaTheme="minorEastAs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082"/>
    <w:pPr>
      <w:tabs>
        <w:tab w:val="center" w:pos="4680"/>
        <w:tab w:val="right" w:pos="9360"/>
      </w:tabs>
    </w:pPr>
    <w:rPr>
      <w:rFonts w:eastAsiaTheme="minorHAnsi" w:cstheme="minorBidi"/>
      <w:lang w:bidi="ar-SA"/>
    </w:rPr>
  </w:style>
  <w:style w:type="character" w:customStyle="1" w:styleId="HeaderChar">
    <w:name w:val="Header Char"/>
    <w:basedOn w:val="DefaultParagraphFont"/>
    <w:link w:val="Header"/>
    <w:uiPriority w:val="99"/>
    <w:rsid w:val="000F1082"/>
  </w:style>
  <w:style w:type="paragraph" w:styleId="Footer">
    <w:name w:val="footer"/>
    <w:basedOn w:val="Normal"/>
    <w:link w:val="FooterChar"/>
    <w:uiPriority w:val="99"/>
    <w:unhideWhenUsed/>
    <w:rsid w:val="000F1082"/>
    <w:pPr>
      <w:tabs>
        <w:tab w:val="center" w:pos="4680"/>
        <w:tab w:val="right" w:pos="9360"/>
      </w:tabs>
    </w:pPr>
    <w:rPr>
      <w:rFonts w:eastAsiaTheme="minorHAnsi" w:cstheme="minorBidi"/>
      <w:lang w:bidi="ar-SA"/>
    </w:rPr>
  </w:style>
  <w:style w:type="character" w:customStyle="1" w:styleId="FooterChar">
    <w:name w:val="Footer Char"/>
    <w:basedOn w:val="DefaultParagraphFont"/>
    <w:link w:val="Footer"/>
    <w:uiPriority w:val="99"/>
    <w:rsid w:val="000F1082"/>
  </w:style>
  <w:style w:type="character" w:styleId="Hyperlink">
    <w:name w:val="Hyperlink"/>
    <w:basedOn w:val="DefaultParagraphFont"/>
    <w:uiPriority w:val="99"/>
    <w:rsid w:val="00B35C01"/>
    <w:rPr>
      <w:color w:val="0563C1" w:themeColor="hyperlink"/>
      <w:u w:val="single"/>
    </w:rPr>
  </w:style>
  <w:style w:type="character" w:styleId="UnresolvedMention">
    <w:name w:val="Unresolved Mention"/>
    <w:basedOn w:val="DefaultParagraphFont"/>
    <w:uiPriority w:val="99"/>
    <w:semiHidden/>
    <w:unhideWhenUsed/>
    <w:rsid w:val="00B35C01"/>
    <w:rPr>
      <w:color w:val="605E5C"/>
      <w:shd w:val="clear" w:color="auto" w:fill="E1DFDD"/>
    </w:rPr>
  </w:style>
  <w:style w:type="paragraph" w:styleId="BalloonText">
    <w:name w:val="Balloon Text"/>
    <w:basedOn w:val="Normal"/>
    <w:link w:val="BalloonTextChar"/>
    <w:uiPriority w:val="99"/>
    <w:semiHidden/>
    <w:unhideWhenUsed/>
    <w:rsid w:val="006C59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991"/>
    <w:rPr>
      <w:rFonts w:ascii="Times New Roman" w:eastAsiaTheme="minorEastAsia" w:hAnsi="Times New Roman" w:cs="Times New Roman"/>
      <w:sz w:val="18"/>
      <w:szCs w:val="18"/>
      <w:lang w:bidi="en-US"/>
    </w:rPr>
  </w:style>
  <w:style w:type="table" w:styleId="TableGrid">
    <w:name w:val="Table Grid"/>
    <w:basedOn w:val="TableNormal"/>
    <w:uiPriority w:val="39"/>
    <w:rsid w:val="002C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603E-4903-8D4B-A76F-572D5FE8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Links>
    <vt:vector size="24" baseType="variant">
      <vt:variant>
        <vt:i4>7733268</vt:i4>
      </vt:variant>
      <vt:variant>
        <vt:i4>9</vt:i4>
      </vt:variant>
      <vt:variant>
        <vt:i4>0</vt:i4>
      </vt:variant>
      <vt:variant>
        <vt:i4>5</vt:i4>
      </vt:variant>
      <vt:variant>
        <vt:lpwstr>https://twitter.com/WSWAMedia?ref_src=twsrc%5Egoogle%7Ctwcamp%5Eserp%7Ctwgr%5Eauthor</vt:lpwstr>
      </vt:variant>
      <vt:variant>
        <vt:lpwstr/>
      </vt:variant>
      <vt:variant>
        <vt:i4>6881332</vt:i4>
      </vt:variant>
      <vt:variant>
        <vt:i4>6</vt:i4>
      </vt:variant>
      <vt:variant>
        <vt:i4>0</vt:i4>
      </vt:variant>
      <vt:variant>
        <vt:i4>5</vt:i4>
      </vt:variant>
      <vt:variant>
        <vt:lpwstr>https://www.facebook.com/wswa/</vt:lpwstr>
      </vt:variant>
      <vt:variant>
        <vt:lpwstr/>
      </vt:variant>
      <vt:variant>
        <vt:i4>5767242</vt:i4>
      </vt:variant>
      <vt:variant>
        <vt:i4>3</vt:i4>
      </vt:variant>
      <vt:variant>
        <vt:i4>0</vt:i4>
      </vt:variant>
      <vt:variant>
        <vt:i4>5</vt:i4>
      </vt:variant>
      <vt:variant>
        <vt:lpwstr>http://www.wswa.org/</vt:lpwstr>
      </vt:variant>
      <vt:variant>
        <vt:lpwstr/>
      </vt:variant>
      <vt:variant>
        <vt:i4>3997715</vt:i4>
      </vt:variant>
      <vt:variant>
        <vt:i4>0</vt:i4>
      </vt:variant>
      <vt:variant>
        <vt:i4>0</vt:i4>
      </vt:variant>
      <vt:variant>
        <vt:i4>5</vt:i4>
      </vt:variant>
      <vt:variant>
        <vt:lpwstr>mailto:michael@wswa.org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Sartori</dc:creator>
  <cp:keywords/>
  <dc:description/>
  <cp:lastModifiedBy>Christina Sartori</cp:lastModifiedBy>
  <cp:revision>2</cp:revision>
  <cp:lastPrinted>2020-02-18T19:34:00Z</cp:lastPrinted>
  <dcterms:created xsi:type="dcterms:W3CDTF">2020-07-20T16:05:00Z</dcterms:created>
  <dcterms:modified xsi:type="dcterms:W3CDTF">2020-07-20T16:05:00Z</dcterms:modified>
</cp:coreProperties>
</file>